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82FF" w14:textId="77777777" w:rsidR="005D6FDC" w:rsidRPr="00EC1E3A" w:rsidRDefault="005D6FDC" w:rsidP="005D6FDC">
      <w:pPr>
        <w:pStyle w:val="Heading1"/>
        <w:spacing w:before="120" w:after="240"/>
        <w:rPr>
          <w:color w:val="002060"/>
          <w:sz w:val="28"/>
          <w:szCs w:val="28"/>
        </w:rPr>
      </w:pPr>
      <w:r w:rsidRPr="00EC1E3A">
        <w:rPr>
          <w:color w:val="002060"/>
          <w:sz w:val="28"/>
          <w:szCs w:val="28"/>
        </w:rPr>
        <w:t xml:space="preserve">Specifications for Sustainable Vibrant Places Bonus Grant </w:t>
      </w:r>
    </w:p>
    <w:p w14:paraId="2002E75C" w14:textId="7F10A31A" w:rsidR="005D6FDC" w:rsidRDefault="005D6FDC" w:rsidP="005D6FDC">
      <w:pPr>
        <w:widowControl/>
        <w:rPr>
          <w:sz w:val="24"/>
          <w:szCs w:val="24"/>
        </w:rPr>
      </w:pPr>
      <w:r w:rsidRPr="00BA4FEC">
        <w:rPr>
          <w:sz w:val="24"/>
          <w:szCs w:val="24"/>
        </w:rPr>
        <w:t xml:space="preserve">To be eligible for </w:t>
      </w:r>
      <w:r>
        <w:rPr>
          <w:sz w:val="24"/>
          <w:szCs w:val="24"/>
        </w:rPr>
        <w:t>the Sustainable Vibrant Places Bonus</w:t>
      </w:r>
      <w:r w:rsidRPr="00BA4FEC">
        <w:rPr>
          <w:sz w:val="24"/>
          <w:szCs w:val="24"/>
        </w:rPr>
        <w:t xml:space="preserve"> Grant, projects must meet certain performance specifications. </w:t>
      </w:r>
      <w:r>
        <w:rPr>
          <w:sz w:val="24"/>
          <w:szCs w:val="24"/>
        </w:rPr>
        <w:t>D</w:t>
      </w:r>
      <w:r w:rsidRPr="00BA4FEC">
        <w:rPr>
          <w:sz w:val="24"/>
          <w:szCs w:val="24"/>
        </w:rPr>
        <w:t>etailed specification eligibility for select materials or products</w:t>
      </w:r>
      <w:r>
        <w:rPr>
          <w:sz w:val="24"/>
          <w:szCs w:val="24"/>
        </w:rPr>
        <w:t xml:space="preserve"> is provided below</w:t>
      </w:r>
      <w:r w:rsidRPr="00BA4FEC">
        <w:rPr>
          <w:sz w:val="24"/>
          <w:szCs w:val="24"/>
        </w:rPr>
        <w:t xml:space="preserve">. </w:t>
      </w:r>
      <w:r>
        <w:rPr>
          <w:sz w:val="24"/>
          <w:szCs w:val="24"/>
        </w:rPr>
        <w:t>O</w:t>
      </w:r>
      <w:r w:rsidRPr="00BA4FEC">
        <w:rPr>
          <w:sz w:val="24"/>
          <w:szCs w:val="24"/>
        </w:rPr>
        <w:t>ther projects consistent with the goal of investing in sustainable, energy-efficient, low-carbon improvements and climate change mitigation will also be considered.</w:t>
      </w:r>
    </w:p>
    <w:p w14:paraId="3C4E09C4" w14:textId="77777777" w:rsidR="005D6FDC" w:rsidRPr="00BA4FEC" w:rsidRDefault="005D6FDC" w:rsidP="005D6FDC">
      <w:pPr>
        <w:widowControl/>
        <w:rPr>
          <w:sz w:val="24"/>
          <w:szCs w:val="24"/>
        </w:rPr>
      </w:pPr>
    </w:p>
    <w:tbl>
      <w:tblPr>
        <w:tblStyle w:val="GridTable5Dark-Accent1"/>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260"/>
        <w:gridCol w:w="2919"/>
        <w:gridCol w:w="1154"/>
        <w:gridCol w:w="1242"/>
      </w:tblGrid>
      <w:tr w:rsidR="005D6FDC" w:rsidRPr="000C6BF8" w14:paraId="70A0DB1D" w14:textId="77777777" w:rsidTr="007D6009">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shd w:val="clear" w:color="auto" w:fill="002060"/>
            <w:vAlign w:val="center"/>
          </w:tcPr>
          <w:p w14:paraId="2A72722A" w14:textId="77777777" w:rsidR="005D6FDC" w:rsidRPr="00F84B2C" w:rsidRDefault="005D6FDC" w:rsidP="007D6009">
            <w:pPr>
              <w:jc w:val="center"/>
              <w:rPr>
                <w:sz w:val="19"/>
                <w:szCs w:val="19"/>
              </w:rPr>
            </w:pPr>
            <w:bookmarkStart w:id="0" w:name="_Hlk108433735"/>
            <w:r w:rsidRPr="00F84B2C">
              <w:rPr>
                <w:sz w:val="19"/>
                <w:szCs w:val="19"/>
              </w:rPr>
              <w:t>Project</w:t>
            </w:r>
          </w:p>
        </w:tc>
        <w:tc>
          <w:tcPr>
            <w:tcW w:w="3260" w:type="dxa"/>
            <w:tcBorders>
              <w:top w:val="none" w:sz="0" w:space="0" w:color="auto"/>
              <w:left w:val="none" w:sz="0" w:space="0" w:color="auto"/>
              <w:right w:val="none" w:sz="0" w:space="0" w:color="auto"/>
            </w:tcBorders>
            <w:shd w:val="clear" w:color="auto" w:fill="002060"/>
            <w:vAlign w:val="center"/>
          </w:tcPr>
          <w:p w14:paraId="03928283" w14:textId="77777777" w:rsidR="005D6FDC" w:rsidRPr="00F84B2C" w:rsidRDefault="005D6FDC" w:rsidP="007D6009">
            <w:pPr>
              <w:jc w:val="center"/>
              <w:cnfStyle w:val="100000000000" w:firstRow="1" w:lastRow="0" w:firstColumn="0" w:lastColumn="0" w:oddVBand="0" w:evenVBand="0" w:oddHBand="0" w:evenHBand="0" w:firstRowFirstColumn="0" w:firstRowLastColumn="0" w:lastRowFirstColumn="0" w:lastRowLastColumn="0"/>
              <w:rPr>
                <w:sz w:val="19"/>
                <w:szCs w:val="19"/>
              </w:rPr>
            </w:pPr>
            <w:r w:rsidRPr="00F84B2C">
              <w:rPr>
                <w:sz w:val="19"/>
                <w:szCs w:val="19"/>
              </w:rPr>
              <w:t>Description and Benefits</w:t>
            </w:r>
          </w:p>
        </w:tc>
        <w:tc>
          <w:tcPr>
            <w:tcW w:w="2919" w:type="dxa"/>
            <w:tcBorders>
              <w:top w:val="none" w:sz="0" w:space="0" w:color="auto"/>
              <w:left w:val="none" w:sz="0" w:space="0" w:color="auto"/>
              <w:right w:val="none" w:sz="0" w:space="0" w:color="auto"/>
            </w:tcBorders>
            <w:shd w:val="clear" w:color="auto" w:fill="002060"/>
            <w:vAlign w:val="center"/>
          </w:tcPr>
          <w:p w14:paraId="26A5997C" w14:textId="77777777" w:rsidR="005D6FDC" w:rsidRPr="00F84B2C" w:rsidRDefault="005D6FDC" w:rsidP="007D6009">
            <w:pPr>
              <w:jc w:val="center"/>
              <w:cnfStyle w:val="100000000000" w:firstRow="1" w:lastRow="0" w:firstColumn="0" w:lastColumn="0" w:oddVBand="0" w:evenVBand="0" w:oddHBand="0" w:evenHBand="0" w:firstRowFirstColumn="0" w:firstRowLastColumn="0" w:lastRowFirstColumn="0" w:lastRowLastColumn="0"/>
              <w:rPr>
                <w:sz w:val="19"/>
                <w:szCs w:val="19"/>
              </w:rPr>
            </w:pPr>
            <w:r w:rsidRPr="00F84B2C">
              <w:rPr>
                <w:sz w:val="19"/>
                <w:szCs w:val="19"/>
              </w:rPr>
              <w:t>Specifications</w:t>
            </w:r>
          </w:p>
        </w:tc>
        <w:tc>
          <w:tcPr>
            <w:tcW w:w="0" w:type="auto"/>
            <w:tcBorders>
              <w:top w:val="none" w:sz="0" w:space="0" w:color="auto"/>
              <w:left w:val="none" w:sz="0" w:space="0" w:color="auto"/>
              <w:right w:val="none" w:sz="0" w:space="0" w:color="auto"/>
            </w:tcBorders>
            <w:shd w:val="clear" w:color="auto" w:fill="002060"/>
            <w:vAlign w:val="center"/>
          </w:tcPr>
          <w:p w14:paraId="39FDDEDF" w14:textId="77777777" w:rsidR="005D6FDC" w:rsidRPr="00F84B2C" w:rsidRDefault="005D6FDC" w:rsidP="007D6009">
            <w:pPr>
              <w:ind w:left="-44"/>
              <w:jc w:val="center"/>
              <w:cnfStyle w:val="100000000000" w:firstRow="1" w:lastRow="0" w:firstColumn="0" w:lastColumn="0" w:oddVBand="0" w:evenVBand="0" w:oddHBand="0" w:evenHBand="0" w:firstRowFirstColumn="0" w:firstRowLastColumn="0" w:lastRowFirstColumn="0" w:lastRowLastColumn="0"/>
              <w:rPr>
                <w:sz w:val="19"/>
                <w:szCs w:val="19"/>
              </w:rPr>
            </w:pPr>
            <w:r w:rsidRPr="00F84B2C">
              <w:rPr>
                <w:sz w:val="19"/>
                <w:szCs w:val="19"/>
              </w:rPr>
              <w:t>Estimated Cost**</w:t>
            </w:r>
          </w:p>
        </w:tc>
        <w:tc>
          <w:tcPr>
            <w:tcW w:w="0" w:type="auto"/>
            <w:tcBorders>
              <w:top w:val="none" w:sz="0" w:space="0" w:color="auto"/>
              <w:left w:val="none" w:sz="0" w:space="0" w:color="auto"/>
              <w:right w:val="none" w:sz="0" w:space="0" w:color="auto"/>
            </w:tcBorders>
            <w:shd w:val="clear" w:color="auto" w:fill="002060"/>
            <w:vAlign w:val="center"/>
          </w:tcPr>
          <w:p w14:paraId="5B5BED06" w14:textId="77777777" w:rsidR="005D6FDC" w:rsidRPr="00F84B2C" w:rsidRDefault="005D6FDC" w:rsidP="007D6009">
            <w:pPr>
              <w:ind w:left="-44"/>
              <w:jc w:val="center"/>
              <w:cnfStyle w:val="100000000000" w:firstRow="1" w:lastRow="0" w:firstColumn="0" w:lastColumn="0" w:oddVBand="0" w:evenVBand="0" w:oddHBand="0" w:evenHBand="0" w:firstRowFirstColumn="0" w:firstRowLastColumn="0" w:lastRowFirstColumn="0" w:lastRowLastColumn="0"/>
              <w:rPr>
                <w:sz w:val="19"/>
                <w:szCs w:val="19"/>
              </w:rPr>
            </w:pPr>
            <w:r w:rsidRPr="00F84B2C">
              <w:rPr>
                <w:sz w:val="19"/>
                <w:szCs w:val="19"/>
              </w:rPr>
              <w:t>Links to More Information</w:t>
            </w:r>
          </w:p>
        </w:tc>
      </w:tr>
      <w:bookmarkEnd w:id="0"/>
      <w:tr w:rsidR="005D6FDC" w:rsidRPr="000C6BF8" w14:paraId="501DF58D" w14:textId="77777777" w:rsidTr="007D600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6602E2DD" w14:textId="77777777" w:rsidR="005D6FDC" w:rsidRPr="00F84B2C" w:rsidRDefault="005D6FDC" w:rsidP="007D6009">
            <w:pPr>
              <w:rPr>
                <w:color w:val="000000" w:themeColor="text1"/>
                <w:sz w:val="19"/>
                <w:szCs w:val="19"/>
              </w:rPr>
            </w:pPr>
            <w:r w:rsidRPr="00F84B2C">
              <w:rPr>
                <w:color w:val="000000" w:themeColor="text1"/>
                <w:sz w:val="19"/>
                <w:szCs w:val="19"/>
              </w:rPr>
              <w:t>Energy Star-rated windows</w:t>
            </w:r>
          </w:p>
        </w:tc>
        <w:tc>
          <w:tcPr>
            <w:tcW w:w="3260" w:type="dxa"/>
            <w:shd w:val="clear" w:color="auto" w:fill="auto"/>
          </w:tcPr>
          <w:p w14:paraId="17C637E4" w14:textId="77777777" w:rsidR="005D6FDC" w:rsidRPr="00F84B2C" w:rsidRDefault="005D6FDC" w:rsidP="007D6009">
            <w:pP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F84B2C">
              <w:rPr>
                <w:rFonts w:cstheme="minorHAnsi"/>
                <w:sz w:val="19"/>
                <w:szCs w:val="19"/>
              </w:rPr>
              <w:t>Average energy savings when updating single pane glass is $270 per year. Energy Star is a government program that certifies minimum energy performance criteria are met.</w:t>
            </w:r>
          </w:p>
        </w:tc>
        <w:tc>
          <w:tcPr>
            <w:tcW w:w="2919" w:type="dxa"/>
            <w:shd w:val="clear" w:color="auto" w:fill="auto"/>
          </w:tcPr>
          <w:p w14:paraId="2A5AE61E" w14:textId="77777777" w:rsidR="005D6FDC" w:rsidRPr="00F84B2C" w:rsidRDefault="005D6FDC" w:rsidP="007D6009">
            <w:pPr>
              <w:tabs>
                <w:tab w:val="left" w:pos="1760"/>
                <w:tab w:val="left" w:pos="1761"/>
              </w:tabs>
              <w:spacing w:before="1"/>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F84B2C">
              <w:rPr>
                <w:rFonts w:cstheme="minorHAnsi"/>
                <w:sz w:val="19"/>
                <w:szCs w:val="19"/>
              </w:rPr>
              <w:t xml:space="preserve">All Energy Star labeled windows have a U-factor of 0.30 or lower, and with SHGC = .40 or lower. </w:t>
            </w:r>
          </w:p>
        </w:tc>
        <w:tc>
          <w:tcPr>
            <w:tcW w:w="0" w:type="auto"/>
            <w:shd w:val="clear" w:color="auto" w:fill="auto"/>
          </w:tcPr>
          <w:p w14:paraId="7C3AE0E4" w14:textId="77777777" w:rsidR="005D6FDC" w:rsidRPr="00F84B2C"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r w:rsidRPr="00F84B2C">
              <w:rPr>
                <w:sz w:val="19"/>
                <w:szCs w:val="19"/>
              </w:rPr>
              <w:t>$5-40 per sq ft (</w:t>
            </w:r>
            <w:hyperlink r:id="rId5" w:anchor="triple-pane-window-cost-per-square-foot" w:history="1">
              <w:r w:rsidRPr="00F84B2C">
                <w:rPr>
                  <w:rStyle w:val="Hyperlink"/>
                  <w:sz w:val="19"/>
                  <w:szCs w:val="19"/>
                </w:rPr>
                <w:t>Source 1</w:t>
              </w:r>
            </w:hyperlink>
            <w:r w:rsidRPr="00F84B2C">
              <w:rPr>
                <w:sz w:val="19"/>
                <w:szCs w:val="19"/>
              </w:rPr>
              <w:t>)</w:t>
            </w:r>
          </w:p>
        </w:tc>
        <w:tc>
          <w:tcPr>
            <w:tcW w:w="0" w:type="auto"/>
            <w:shd w:val="clear" w:color="auto" w:fill="auto"/>
          </w:tcPr>
          <w:p w14:paraId="79D27C6B" w14:textId="77777777" w:rsidR="005D6FDC" w:rsidRPr="00F84B2C" w:rsidRDefault="005D6FDC" w:rsidP="007D6009">
            <w:pPr>
              <w:tabs>
                <w:tab w:val="left" w:pos="1760"/>
                <w:tab w:val="left" w:pos="1761"/>
              </w:tabs>
              <w:spacing w:before="1"/>
              <w:cnfStyle w:val="000000100000" w:firstRow="0" w:lastRow="0" w:firstColumn="0" w:lastColumn="0" w:oddVBand="0" w:evenVBand="0" w:oddHBand="1" w:evenHBand="0" w:firstRowFirstColumn="0" w:firstRowLastColumn="0" w:lastRowFirstColumn="0" w:lastRowLastColumn="0"/>
              <w:rPr>
                <w:sz w:val="19"/>
                <w:szCs w:val="19"/>
              </w:rPr>
            </w:pPr>
            <w:hyperlink r:id="rId6" w:history="1">
              <w:r w:rsidRPr="00F84B2C">
                <w:rPr>
                  <w:rStyle w:val="Hyperlink"/>
                  <w:sz w:val="19"/>
                  <w:szCs w:val="19"/>
                </w:rPr>
                <w:t>Link 1</w:t>
              </w:r>
            </w:hyperlink>
          </w:p>
          <w:p w14:paraId="1AFBFCCD" w14:textId="77777777" w:rsidR="005D6FDC" w:rsidRPr="00F84B2C" w:rsidRDefault="005D6FDC" w:rsidP="007D6009">
            <w:pPr>
              <w:tabs>
                <w:tab w:val="left" w:pos="1760"/>
                <w:tab w:val="left" w:pos="1761"/>
              </w:tabs>
              <w:spacing w:before="1"/>
              <w:cnfStyle w:val="000000100000" w:firstRow="0" w:lastRow="0" w:firstColumn="0" w:lastColumn="0" w:oddVBand="0" w:evenVBand="0" w:oddHBand="1" w:evenHBand="0" w:firstRowFirstColumn="0" w:firstRowLastColumn="0" w:lastRowFirstColumn="0" w:lastRowLastColumn="0"/>
              <w:rPr>
                <w:sz w:val="19"/>
                <w:szCs w:val="19"/>
              </w:rPr>
            </w:pPr>
            <w:hyperlink r:id="rId7" w:history="1">
              <w:r w:rsidRPr="00F84B2C">
                <w:rPr>
                  <w:rStyle w:val="Hyperlink"/>
                  <w:sz w:val="19"/>
                  <w:szCs w:val="19"/>
                </w:rPr>
                <w:t>Link 2</w:t>
              </w:r>
            </w:hyperlink>
          </w:p>
        </w:tc>
      </w:tr>
      <w:tr w:rsidR="005D6FDC" w:rsidRPr="000C6BF8" w14:paraId="2E73FACE" w14:textId="77777777" w:rsidTr="007D6009">
        <w:trPr>
          <w:cantSplit/>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2861FB17" w14:textId="77777777" w:rsidR="005D6FDC" w:rsidRPr="00F84B2C" w:rsidRDefault="005D6FDC" w:rsidP="007D6009">
            <w:pPr>
              <w:rPr>
                <w:color w:val="000000" w:themeColor="text1"/>
                <w:sz w:val="19"/>
                <w:szCs w:val="19"/>
              </w:rPr>
            </w:pPr>
            <w:r w:rsidRPr="00F84B2C">
              <w:rPr>
                <w:color w:val="000000" w:themeColor="text1"/>
                <w:sz w:val="19"/>
                <w:szCs w:val="19"/>
              </w:rPr>
              <w:t>New energy efficient doors</w:t>
            </w:r>
          </w:p>
        </w:tc>
        <w:tc>
          <w:tcPr>
            <w:tcW w:w="3260" w:type="dxa"/>
            <w:shd w:val="clear" w:color="auto" w:fill="auto"/>
          </w:tcPr>
          <w:p w14:paraId="51EA652A" w14:textId="77777777" w:rsidR="005D6FDC" w:rsidRPr="00F84B2C" w:rsidRDefault="005D6FDC" w:rsidP="007D6009">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84B2C">
              <w:rPr>
                <w:rFonts w:cstheme="minorHAnsi"/>
                <w:sz w:val="19"/>
                <w:szCs w:val="19"/>
                <w:shd w:val="clear" w:color="auto" w:fill="FFFFFF"/>
              </w:rPr>
              <w:t xml:space="preserve">Doors are responsible for 11 percent of air leaks in most homes. More insulated doors can reduce heating and cooling costs. </w:t>
            </w:r>
          </w:p>
        </w:tc>
        <w:tc>
          <w:tcPr>
            <w:tcW w:w="2919" w:type="dxa"/>
            <w:shd w:val="clear" w:color="auto" w:fill="auto"/>
          </w:tcPr>
          <w:p w14:paraId="2837E4DC" w14:textId="77777777" w:rsidR="005D6FDC" w:rsidRPr="00F84B2C" w:rsidRDefault="005D6FDC" w:rsidP="007D6009">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84B2C">
              <w:rPr>
                <w:rFonts w:cstheme="minorHAnsi"/>
                <w:sz w:val="19"/>
                <w:szCs w:val="19"/>
              </w:rPr>
              <w:t xml:space="preserve">For doors with glass, they must have U-factor of 0.27 or lower </w:t>
            </w:r>
          </w:p>
          <w:p w14:paraId="03539548" w14:textId="77777777" w:rsidR="005D6FDC" w:rsidRPr="00F84B2C" w:rsidRDefault="005D6FDC" w:rsidP="007D6009">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84B2C">
              <w:rPr>
                <w:rFonts w:cstheme="minorHAnsi"/>
                <w:sz w:val="19"/>
                <w:szCs w:val="19"/>
              </w:rPr>
              <w:t>For solid doors (without glass), U-factor must be 0.17 or lower</w:t>
            </w:r>
          </w:p>
        </w:tc>
        <w:tc>
          <w:tcPr>
            <w:tcW w:w="0" w:type="auto"/>
            <w:shd w:val="clear" w:color="auto" w:fill="auto"/>
          </w:tcPr>
          <w:p w14:paraId="389297F7" w14:textId="77777777" w:rsidR="005D6FDC" w:rsidRPr="00F84B2C"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r w:rsidRPr="00F84B2C">
              <w:rPr>
                <w:sz w:val="19"/>
                <w:szCs w:val="19"/>
              </w:rPr>
              <w:t>$750-2500</w:t>
            </w:r>
          </w:p>
        </w:tc>
        <w:tc>
          <w:tcPr>
            <w:tcW w:w="0" w:type="auto"/>
            <w:shd w:val="clear" w:color="auto" w:fill="auto"/>
          </w:tcPr>
          <w:p w14:paraId="6ADCAA09" w14:textId="77777777" w:rsidR="005D6FDC" w:rsidRPr="00F84B2C"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hyperlink r:id="rId8" w:history="1">
              <w:r w:rsidRPr="00F84B2C">
                <w:rPr>
                  <w:rStyle w:val="Hyperlink"/>
                  <w:sz w:val="19"/>
                  <w:szCs w:val="19"/>
                </w:rPr>
                <w:t>Link 1</w:t>
              </w:r>
            </w:hyperlink>
          </w:p>
        </w:tc>
      </w:tr>
      <w:tr w:rsidR="005D6FDC" w:rsidRPr="000C6BF8" w14:paraId="56AFC90C" w14:textId="77777777" w:rsidTr="007D600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32697B17" w14:textId="77777777" w:rsidR="005D6FDC" w:rsidRPr="007508C9" w:rsidRDefault="005D6FDC" w:rsidP="007D6009">
            <w:pPr>
              <w:rPr>
                <w:color w:val="000000" w:themeColor="text1"/>
                <w:sz w:val="19"/>
                <w:szCs w:val="19"/>
              </w:rPr>
            </w:pPr>
            <w:r w:rsidRPr="007508C9">
              <w:rPr>
                <w:color w:val="000000" w:themeColor="text1"/>
                <w:sz w:val="19"/>
                <w:szCs w:val="19"/>
              </w:rPr>
              <w:t>Pervious surface or permeable pavers</w:t>
            </w:r>
          </w:p>
        </w:tc>
        <w:tc>
          <w:tcPr>
            <w:tcW w:w="3260" w:type="dxa"/>
            <w:shd w:val="clear" w:color="auto" w:fill="auto"/>
          </w:tcPr>
          <w:p w14:paraId="13A3FB6C" w14:textId="77777777" w:rsidR="005D6FDC" w:rsidRPr="007508C9" w:rsidRDefault="005D6FDC" w:rsidP="007D6009">
            <w:pPr>
              <w:tabs>
                <w:tab w:val="left" w:pos="1760"/>
                <w:tab w:val="left" w:pos="1761"/>
              </w:tabs>
              <w:spacing w:before="1"/>
              <w:cnfStyle w:val="000000100000" w:firstRow="0" w:lastRow="0" w:firstColumn="0" w:lastColumn="0" w:oddVBand="0" w:evenVBand="0" w:oddHBand="1" w:evenHBand="0" w:firstRowFirstColumn="0" w:firstRowLastColumn="0" w:lastRowFirstColumn="0" w:lastRowLastColumn="0"/>
              <w:rPr>
                <w:b/>
                <w:bCs/>
                <w:sz w:val="19"/>
                <w:szCs w:val="19"/>
              </w:rPr>
            </w:pPr>
            <w:r w:rsidRPr="007508C9">
              <w:rPr>
                <w:sz w:val="19"/>
                <w:szCs w:val="19"/>
              </w:rPr>
              <w:t>When we replace natural ground with hard, impermeable surfaces, water is unable to absorb back into the earth. Instead, rainwater sheet flows to gutters, overwhelms our systems, and causes flooding. Installing permeable surfaces allows water to absorb into the ground, reducing risk of flooding, and recharging our natural water aquifers.</w:t>
            </w:r>
          </w:p>
        </w:tc>
        <w:tc>
          <w:tcPr>
            <w:tcW w:w="2919" w:type="dxa"/>
            <w:shd w:val="clear" w:color="auto" w:fill="auto"/>
          </w:tcPr>
          <w:p w14:paraId="14F11E73" w14:textId="77777777" w:rsidR="005D6FDC" w:rsidRPr="007508C9" w:rsidRDefault="005D6FDC" w:rsidP="007D6009">
            <w:pPr>
              <w:tabs>
                <w:tab w:val="left" w:pos="1760"/>
                <w:tab w:val="left" w:pos="1761"/>
              </w:tabs>
              <w:spacing w:before="1"/>
              <w:cnfStyle w:val="000000100000" w:firstRow="0" w:lastRow="0" w:firstColumn="0" w:lastColumn="0" w:oddVBand="0" w:evenVBand="0" w:oddHBand="1" w:evenHBand="0" w:firstRowFirstColumn="0" w:firstRowLastColumn="0" w:lastRowFirstColumn="0" w:lastRowLastColumn="0"/>
              <w:rPr>
                <w:sz w:val="19"/>
                <w:szCs w:val="19"/>
              </w:rPr>
            </w:pPr>
            <w:r w:rsidRPr="007508C9">
              <w:rPr>
                <w:sz w:val="19"/>
                <w:szCs w:val="19"/>
              </w:rPr>
              <w:t xml:space="preserve">Permeable Pavers </w:t>
            </w:r>
          </w:p>
          <w:p w14:paraId="0129EECF" w14:textId="77777777" w:rsidR="005D6FDC" w:rsidRPr="007508C9" w:rsidRDefault="005D6FDC" w:rsidP="007D6009">
            <w:pPr>
              <w:tabs>
                <w:tab w:val="left" w:pos="1760"/>
                <w:tab w:val="left" w:pos="1761"/>
              </w:tabs>
              <w:spacing w:before="1"/>
              <w:ind w:left="256"/>
              <w:cnfStyle w:val="000000100000" w:firstRow="0" w:lastRow="0" w:firstColumn="0" w:lastColumn="0" w:oddVBand="0" w:evenVBand="0" w:oddHBand="1" w:evenHBand="0" w:firstRowFirstColumn="0" w:firstRowLastColumn="0" w:lastRowFirstColumn="0" w:lastRowLastColumn="0"/>
              <w:rPr>
                <w:sz w:val="19"/>
                <w:szCs w:val="19"/>
              </w:rPr>
            </w:pPr>
            <w:r w:rsidRPr="007508C9">
              <w:rPr>
                <w:sz w:val="19"/>
                <w:szCs w:val="19"/>
              </w:rPr>
              <w:t>Must have a base layer of 6-8” of ¾” open aggregate below the pavers. Joints between pavers filled with 1-1½” of ¼” #10 aggregate. Permeable pavers may be solid or open ‘turf stone’ style.</w:t>
            </w:r>
          </w:p>
          <w:p w14:paraId="40BB242F" w14:textId="77777777" w:rsidR="005D6FDC" w:rsidRPr="007508C9" w:rsidRDefault="005D6FDC" w:rsidP="007D6009">
            <w:pPr>
              <w:tabs>
                <w:tab w:val="left" w:pos="1760"/>
                <w:tab w:val="left" w:pos="1761"/>
              </w:tabs>
              <w:spacing w:before="1"/>
              <w:cnfStyle w:val="000000100000" w:firstRow="0" w:lastRow="0" w:firstColumn="0" w:lastColumn="0" w:oddVBand="0" w:evenVBand="0" w:oddHBand="1" w:evenHBand="0" w:firstRowFirstColumn="0" w:firstRowLastColumn="0" w:lastRowFirstColumn="0" w:lastRowLastColumn="0"/>
              <w:rPr>
                <w:sz w:val="19"/>
                <w:szCs w:val="19"/>
              </w:rPr>
            </w:pPr>
            <w:r w:rsidRPr="007508C9">
              <w:rPr>
                <w:sz w:val="19"/>
                <w:szCs w:val="19"/>
              </w:rPr>
              <w:t xml:space="preserve">Other Permeable Surfaces </w:t>
            </w:r>
          </w:p>
          <w:p w14:paraId="666806A0" w14:textId="77777777" w:rsidR="005D6FDC" w:rsidRPr="007508C9" w:rsidRDefault="005D6FDC" w:rsidP="007D6009">
            <w:pPr>
              <w:tabs>
                <w:tab w:val="left" w:pos="1760"/>
                <w:tab w:val="left" w:pos="1761"/>
              </w:tabs>
              <w:spacing w:before="1"/>
              <w:ind w:left="256"/>
              <w:cnfStyle w:val="000000100000" w:firstRow="0" w:lastRow="0" w:firstColumn="0" w:lastColumn="0" w:oddVBand="0" w:evenVBand="0" w:oddHBand="1" w:evenHBand="0" w:firstRowFirstColumn="0" w:firstRowLastColumn="0" w:lastRowFirstColumn="0" w:lastRowLastColumn="0"/>
              <w:rPr>
                <w:sz w:val="19"/>
                <w:szCs w:val="19"/>
              </w:rPr>
            </w:pPr>
            <w:r w:rsidRPr="007508C9">
              <w:rPr>
                <w:sz w:val="19"/>
                <w:szCs w:val="19"/>
              </w:rPr>
              <w:t xml:space="preserve">Pervious concrete and other surfaces with open cavities in a minimum of 15%, to allow water to soak through  </w:t>
            </w:r>
          </w:p>
          <w:p w14:paraId="3FD30E7A" w14:textId="77777777" w:rsidR="005D6FDC" w:rsidRPr="007508C9"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p>
        </w:tc>
        <w:tc>
          <w:tcPr>
            <w:tcW w:w="0" w:type="auto"/>
            <w:shd w:val="clear" w:color="auto" w:fill="auto"/>
          </w:tcPr>
          <w:p w14:paraId="1EDF3CCF" w14:textId="77777777" w:rsidR="005D6FDC" w:rsidRPr="007508C9"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r w:rsidRPr="007508C9">
              <w:rPr>
                <w:sz w:val="19"/>
                <w:szCs w:val="19"/>
              </w:rPr>
              <w:t>$7-30 (</w:t>
            </w:r>
            <w:hyperlink r:id="rId9" w:anchor=":~:text=Permeable%20pavement%20cost,to%20%2416%20per%20square%20foot." w:history="1">
              <w:r w:rsidRPr="007508C9">
                <w:rPr>
                  <w:rStyle w:val="Hyperlink"/>
                  <w:sz w:val="19"/>
                  <w:szCs w:val="19"/>
                </w:rPr>
                <w:t>source 1</w:t>
              </w:r>
            </w:hyperlink>
            <w:r w:rsidRPr="007508C9">
              <w:rPr>
                <w:sz w:val="19"/>
                <w:szCs w:val="19"/>
              </w:rPr>
              <w:t>)</w:t>
            </w:r>
          </w:p>
        </w:tc>
        <w:tc>
          <w:tcPr>
            <w:tcW w:w="0" w:type="auto"/>
            <w:shd w:val="clear" w:color="auto" w:fill="auto"/>
          </w:tcPr>
          <w:p w14:paraId="752C868C" w14:textId="77777777" w:rsidR="005D6FDC" w:rsidRPr="007508C9"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hyperlink r:id="rId10" w:history="1">
              <w:r w:rsidRPr="007508C9">
                <w:rPr>
                  <w:rStyle w:val="Hyperlink"/>
                  <w:sz w:val="19"/>
                  <w:szCs w:val="19"/>
                </w:rPr>
                <w:t>Link 1</w:t>
              </w:r>
            </w:hyperlink>
          </w:p>
          <w:p w14:paraId="48328F49" w14:textId="77777777" w:rsidR="005D6FDC" w:rsidRPr="007508C9"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hyperlink r:id="rId11" w:history="1">
              <w:r w:rsidRPr="007508C9">
                <w:rPr>
                  <w:rStyle w:val="Hyperlink"/>
                  <w:sz w:val="19"/>
                  <w:szCs w:val="19"/>
                </w:rPr>
                <w:t>Link 2</w:t>
              </w:r>
            </w:hyperlink>
          </w:p>
        </w:tc>
      </w:tr>
      <w:tr w:rsidR="005D6FDC" w:rsidRPr="000C6BF8" w14:paraId="595779F5" w14:textId="77777777" w:rsidTr="007D6009">
        <w:trPr>
          <w:cantSplit/>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30C0AFEC" w14:textId="77777777" w:rsidR="005D6FDC" w:rsidRPr="007508C9" w:rsidRDefault="005D6FDC" w:rsidP="007D6009">
            <w:pPr>
              <w:rPr>
                <w:color w:val="000000" w:themeColor="text1"/>
                <w:sz w:val="19"/>
                <w:szCs w:val="19"/>
              </w:rPr>
            </w:pPr>
            <w:r w:rsidRPr="007508C9">
              <w:rPr>
                <w:color w:val="000000" w:themeColor="text1"/>
                <w:sz w:val="19"/>
                <w:szCs w:val="19"/>
              </w:rPr>
              <w:t>30% recycled-content material</w:t>
            </w:r>
          </w:p>
        </w:tc>
        <w:tc>
          <w:tcPr>
            <w:tcW w:w="3260" w:type="dxa"/>
            <w:shd w:val="clear" w:color="auto" w:fill="auto"/>
          </w:tcPr>
          <w:p w14:paraId="6B29AD0D" w14:textId="77777777" w:rsidR="005D6FDC" w:rsidRPr="007508C9"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r w:rsidRPr="007508C9">
              <w:rPr>
                <w:sz w:val="19"/>
                <w:szCs w:val="19"/>
              </w:rPr>
              <w:t>A variety of products can be purchased with recycled content. Purchasing recycled content diverts waste from landfills, reduces the carbon footprint, and contributes to a circular economy.</w:t>
            </w:r>
          </w:p>
        </w:tc>
        <w:tc>
          <w:tcPr>
            <w:tcW w:w="2919" w:type="dxa"/>
            <w:shd w:val="clear" w:color="auto" w:fill="auto"/>
          </w:tcPr>
          <w:p w14:paraId="38E0AE08" w14:textId="77777777" w:rsidR="005D6FDC" w:rsidRPr="007508C9"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r w:rsidRPr="007508C9">
              <w:rPr>
                <w:sz w:val="19"/>
                <w:szCs w:val="19"/>
              </w:rPr>
              <w:t>Any product labeled or certified with a minimum of 30% recycled content qualifies.</w:t>
            </w:r>
          </w:p>
        </w:tc>
        <w:tc>
          <w:tcPr>
            <w:tcW w:w="0" w:type="auto"/>
            <w:shd w:val="clear" w:color="auto" w:fill="auto"/>
          </w:tcPr>
          <w:p w14:paraId="1E81285F" w14:textId="77777777" w:rsidR="005D6FDC" w:rsidRPr="007508C9"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r w:rsidRPr="007508C9">
              <w:rPr>
                <w:sz w:val="19"/>
                <w:szCs w:val="19"/>
              </w:rPr>
              <w:t>Varies</w:t>
            </w:r>
          </w:p>
        </w:tc>
        <w:tc>
          <w:tcPr>
            <w:tcW w:w="0" w:type="auto"/>
            <w:shd w:val="clear" w:color="auto" w:fill="auto"/>
          </w:tcPr>
          <w:p w14:paraId="5BF69894" w14:textId="77777777" w:rsidR="005D6FDC" w:rsidRPr="007508C9"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hyperlink r:id="rId12" w:history="1">
              <w:r w:rsidRPr="007508C9">
                <w:rPr>
                  <w:rStyle w:val="Hyperlink"/>
                  <w:sz w:val="19"/>
                  <w:szCs w:val="19"/>
                </w:rPr>
                <w:t>Link 1</w:t>
              </w:r>
            </w:hyperlink>
          </w:p>
          <w:p w14:paraId="1E485E54" w14:textId="77777777" w:rsidR="005D6FDC" w:rsidRPr="007508C9"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hyperlink r:id="rId13" w:anchor=":~:text=%E2%80%9CRecycled%20Content%E2%80%9D%20means%20the%20total,pre%2Dconsumer%20and%20postconsumer%20materials." w:history="1">
              <w:r w:rsidRPr="007508C9">
                <w:rPr>
                  <w:rStyle w:val="Hyperlink"/>
                  <w:sz w:val="19"/>
                  <w:szCs w:val="19"/>
                </w:rPr>
                <w:t>Link 2</w:t>
              </w:r>
            </w:hyperlink>
          </w:p>
        </w:tc>
      </w:tr>
      <w:tr w:rsidR="005D6FDC" w:rsidRPr="000C6BF8" w14:paraId="55D375E3" w14:textId="77777777" w:rsidTr="007D600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0BEE83C0" w14:textId="77777777" w:rsidR="005D6FDC" w:rsidRPr="00DB7771" w:rsidRDefault="005D6FDC" w:rsidP="007D6009">
            <w:pPr>
              <w:rPr>
                <w:color w:val="000000" w:themeColor="text1"/>
                <w:sz w:val="19"/>
                <w:szCs w:val="19"/>
              </w:rPr>
            </w:pPr>
            <w:r w:rsidRPr="00DB7771">
              <w:rPr>
                <w:color w:val="000000" w:themeColor="text1"/>
                <w:sz w:val="19"/>
                <w:szCs w:val="19"/>
              </w:rPr>
              <w:t>Xeriscaping (drought-tolerant landscaping)</w:t>
            </w:r>
          </w:p>
        </w:tc>
        <w:tc>
          <w:tcPr>
            <w:tcW w:w="3260" w:type="dxa"/>
            <w:shd w:val="clear" w:color="auto" w:fill="auto"/>
          </w:tcPr>
          <w:p w14:paraId="584104C3" w14:textId="77777777" w:rsidR="005D6FDC" w:rsidRPr="00DB7771"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r w:rsidRPr="00DB7771">
              <w:rPr>
                <w:sz w:val="19"/>
                <w:szCs w:val="19"/>
              </w:rPr>
              <w:t>Xeriscaping includes a combination of specific drought-tolerant plants, and natural groundcover like stones or mulch. Once established, it does not require irrigation, reducing water costs.</w:t>
            </w:r>
          </w:p>
        </w:tc>
        <w:tc>
          <w:tcPr>
            <w:tcW w:w="2919" w:type="dxa"/>
            <w:shd w:val="clear" w:color="auto" w:fill="auto"/>
          </w:tcPr>
          <w:p w14:paraId="51608687" w14:textId="77777777" w:rsidR="005D6FDC" w:rsidRPr="00DB7771"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r w:rsidRPr="00DB7771">
              <w:rPr>
                <w:sz w:val="19"/>
                <w:szCs w:val="19"/>
              </w:rPr>
              <w:t>Removal of grassy areas and replacement with drought-tolerant plants and hardscaping, to reduce need for watering once established.</w:t>
            </w:r>
          </w:p>
        </w:tc>
        <w:tc>
          <w:tcPr>
            <w:tcW w:w="0" w:type="auto"/>
            <w:shd w:val="clear" w:color="auto" w:fill="auto"/>
          </w:tcPr>
          <w:p w14:paraId="7F15D323" w14:textId="77777777" w:rsidR="005D6FDC" w:rsidRPr="00DB7771" w:rsidRDefault="005D6FDC" w:rsidP="007D6009">
            <w:pPr>
              <w:tabs>
                <w:tab w:val="left" w:pos="1760"/>
                <w:tab w:val="left" w:pos="1761"/>
              </w:tabs>
              <w:spacing w:before="1"/>
              <w:cnfStyle w:val="000000100000" w:firstRow="0" w:lastRow="0" w:firstColumn="0" w:lastColumn="0" w:oddVBand="0" w:evenVBand="0" w:oddHBand="1" w:evenHBand="0" w:firstRowFirstColumn="0" w:firstRowLastColumn="0" w:lastRowFirstColumn="0" w:lastRowLastColumn="0"/>
              <w:rPr>
                <w:sz w:val="19"/>
                <w:szCs w:val="19"/>
              </w:rPr>
            </w:pPr>
            <w:r w:rsidRPr="00DB7771">
              <w:rPr>
                <w:sz w:val="19"/>
                <w:szCs w:val="19"/>
              </w:rPr>
              <w:t>$5-20 per sq ft (</w:t>
            </w:r>
            <w:hyperlink r:id="rId14" w:anchor=":~:text=The%20average%20homeowner%20spends%20between,areas%20to%20promote%20water%20conservation." w:history="1">
              <w:r w:rsidRPr="00DB7771">
                <w:rPr>
                  <w:rStyle w:val="Hyperlink"/>
                  <w:sz w:val="19"/>
                  <w:szCs w:val="19"/>
                </w:rPr>
                <w:t>source 1</w:t>
              </w:r>
            </w:hyperlink>
            <w:r w:rsidRPr="00DB7771">
              <w:rPr>
                <w:sz w:val="19"/>
                <w:szCs w:val="19"/>
              </w:rPr>
              <w:t>)</w:t>
            </w:r>
          </w:p>
        </w:tc>
        <w:tc>
          <w:tcPr>
            <w:tcW w:w="0" w:type="auto"/>
            <w:shd w:val="clear" w:color="auto" w:fill="auto"/>
          </w:tcPr>
          <w:p w14:paraId="0351EDB7" w14:textId="77777777" w:rsidR="005D6FDC" w:rsidRPr="00DB7771" w:rsidRDefault="005D6FDC" w:rsidP="007D6009">
            <w:pPr>
              <w:tabs>
                <w:tab w:val="left" w:pos="1760"/>
                <w:tab w:val="left" w:pos="1761"/>
              </w:tabs>
              <w:spacing w:before="1"/>
              <w:cnfStyle w:val="000000100000" w:firstRow="0" w:lastRow="0" w:firstColumn="0" w:lastColumn="0" w:oddVBand="0" w:evenVBand="0" w:oddHBand="1" w:evenHBand="0" w:firstRowFirstColumn="0" w:firstRowLastColumn="0" w:lastRowFirstColumn="0" w:lastRowLastColumn="0"/>
              <w:rPr>
                <w:sz w:val="19"/>
                <w:szCs w:val="19"/>
              </w:rPr>
            </w:pPr>
            <w:hyperlink r:id="rId15" w:history="1">
              <w:r w:rsidRPr="00DB7771">
                <w:rPr>
                  <w:rStyle w:val="Hyperlink"/>
                  <w:sz w:val="19"/>
                  <w:szCs w:val="19"/>
                </w:rPr>
                <w:t>Link 1</w:t>
              </w:r>
            </w:hyperlink>
            <w:r w:rsidRPr="00DB7771">
              <w:rPr>
                <w:sz w:val="19"/>
                <w:szCs w:val="19"/>
              </w:rPr>
              <w:t xml:space="preserve"> </w:t>
            </w:r>
          </w:p>
          <w:p w14:paraId="79192CAA" w14:textId="77777777" w:rsidR="005D6FDC" w:rsidRPr="00DB7771" w:rsidRDefault="005D6FDC" w:rsidP="007D6009">
            <w:pPr>
              <w:tabs>
                <w:tab w:val="left" w:pos="1760"/>
                <w:tab w:val="left" w:pos="1761"/>
              </w:tabs>
              <w:spacing w:before="1"/>
              <w:cnfStyle w:val="000000100000" w:firstRow="0" w:lastRow="0" w:firstColumn="0" w:lastColumn="0" w:oddVBand="0" w:evenVBand="0" w:oddHBand="1" w:evenHBand="0" w:firstRowFirstColumn="0" w:firstRowLastColumn="0" w:lastRowFirstColumn="0" w:lastRowLastColumn="0"/>
              <w:rPr>
                <w:sz w:val="19"/>
                <w:szCs w:val="19"/>
              </w:rPr>
            </w:pPr>
            <w:hyperlink r:id="rId16" w:history="1">
              <w:r w:rsidRPr="00DB7771">
                <w:rPr>
                  <w:rStyle w:val="Hyperlink"/>
                  <w:sz w:val="19"/>
                  <w:szCs w:val="19"/>
                </w:rPr>
                <w:t>Link 2</w:t>
              </w:r>
            </w:hyperlink>
          </w:p>
        </w:tc>
      </w:tr>
      <w:tr w:rsidR="005D6FDC" w:rsidRPr="000C6BF8" w14:paraId="4E132C4D" w14:textId="77777777" w:rsidTr="007D6009">
        <w:trPr>
          <w:cantSplit/>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2C5E673F" w14:textId="77777777" w:rsidR="005D6FDC" w:rsidRPr="00DB7771" w:rsidRDefault="005D6FDC" w:rsidP="007D6009">
            <w:pPr>
              <w:rPr>
                <w:color w:val="000000" w:themeColor="text1"/>
                <w:sz w:val="19"/>
                <w:szCs w:val="19"/>
              </w:rPr>
            </w:pPr>
            <w:r w:rsidRPr="00DB7771">
              <w:rPr>
                <w:color w:val="000000" w:themeColor="text1"/>
                <w:sz w:val="19"/>
                <w:szCs w:val="19"/>
              </w:rPr>
              <w:t>Rain garden</w:t>
            </w:r>
          </w:p>
        </w:tc>
        <w:tc>
          <w:tcPr>
            <w:tcW w:w="3260" w:type="dxa"/>
            <w:shd w:val="clear" w:color="auto" w:fill="auto"/>
          </w:tcPr>
          <w:p w14:paraId="3CABB74D" w14:textId="77777777" w:rsidR="005D6FDC" w:rsidRPr="00DB7771"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r w:rsidRPr="00DB7771">
              <w:rPr>
                <w:sz w:val="19"/>
                <w:szCs w:val="19"/>
              </w:rPr>
              <w:t>Rain gardens help to capture rainwater and allow water to be absorbed into the ground. This recharges our aquifers and reduces street flooding.</w:t>
            </w:r>
          </w:p>
        </w:tc>
        <w:tc>
          <w:tcPr>
            <w:tcW w:w="2919" w:type="dxa"/>
            <w:shd w:val="clear" w:color="auto" w:fill="auto"/>
          </w:tcPr>
          <w:p w14:paraId="22A3CF87" w14:textId="77777777" w:rsidR="005D6FDC" w:rsidRPr="00DB7771"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r w:rsidRPr="00DB7771">
              <w:rPr>
                <w:sz w:val="19"/>
                <w:szCs w:val="19"/>
              </w:rPr>
              <w:t>Must contain native plants appropriate for rain garden applications.</w:t>
            </w:r>
          </w:p>
        </w:tc>
        <w:tc>
          <w:tcPr>
            <w:tcW w:w="0" w:type="auto"/>
            <w:shd w:val="clear" w:color="auto" w:fill="auto"/>
          </w:tcPr>
          <w:p w14:paraId="015D3D9F" w14:textId="77777777" w:rsidR="005D6FDC" w:rsidRPr="00DB7771"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r w:rsidRPr="00DB7771">
              <w:rPr>
                <w:sz w:val="19"/>
                <w:szCs w:val="19"/>
              </w:rPr>
              <w:t>$5-15 per sq ft (</w:t>
            </w:r>
            <w:hyperlink r:id="rId17" w:history="1">
              <w:r w:rsidRPr="00DB7771">
                <w:rPr>
                  <w:rStyle w:val="Hyperlink"/>
                  <w:sz w:val="19"/>
                  <w:szCs w:val="19"/>
                </w:rPr>
                <w:t>source 1</w:t>
              </w:r>
            </w:hyperlink>
            <w:r w:rsidRPr="00DB7771">
              <w:rPr>
                <w:sz w:val="19"/>
                <w:szCs w:val="19"/>
              </w:rPr>
              <w:t>)</w:t>
            </w:r>
          </w:p>
        </w:tc>
        <w:tc>
          <w:tcPr>
            <w:tcW w:w="0" w:type="auto"/>
            <w:shd w:val="clear" w:color="auto" w:fill="auto"/>
          </w:tcPr>
          <w:p w14:paraId="7111AC7D" w14:textId="77777777" w:rsidR="005D6FDC" w:rsidRPr="00DB7771" w:rsidRDefault="005D6FDC" w:rsidP="007D6009">
            <w:pPr>
              <w:cnfStyle w:val="000000000000" w:firstRow="0" w:lastRow="0" w:firstColumn="0" w:lastColumn="0" w:oddVBand="0" w:evenVBand="0" w:oddHBand="0" w:evenHBand="0" w:firstRowFirstColumn="0" w:firstRowLastColumn="0" w:lastRowFirstColumn="0" w:lastRowLastColumn="0"/>
              <w:rPr>
                <w:sz w:val="19"/>
                <w:szCs w:val="19"/>
              </w:rPr>
            </w:pPr>
            <w:hyperlink r:id="rId18" w:history="1">
              <w:r w:rsidRPr="00DB7771">
                <w:rPr>
                  <w:rStyle w:val="Hyperlink"/>
                  <w:sz w:val="19"/>
                  <w:szCs w:val="19"/>
                </w:rPr>
                <w:t>Link 1</w:t>
              </w:r>
            </w:hyperlink>
          </w:p>
        </w:tc>
      </w:tr>
      <w:tr w:rsidR="005D6FDC" w:rsidRPr="000C6BF8" w14:paraId="5DC0AE96" w14:textId="77777777" w:rsidTr="007D600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auto"/>
          </w:tcPr>
          <w:p w14:paraId="509752C6" w14:textId="77777777" w:rsidR="005D6FDC" w:rsidRPr="00F9494B" w:rsidRDefault="005D6FDC" w:rsidP="007D6009">
            <w:pPr>
              <w:rPr>
                <w:color w:val="000000" w:themeColor="text1"/>
                <w:sz w:val="19"/>
                <w:szCs w:val="19"/>
              </w:rPr>
            </w:pPr>
            <w:r w:rsidRPr="00F9494B">
              <w:rPr>
                <w:color w:val="000000" w:themeColor="text1"/>
                <w:sz w:val="19"/>
                <w:szCs w:val="19"/>
              </w:rPr>
              <w:t>No-VOC paint</w:t>
            </w:r>
          </w:p>
        </w:tc>
        <w:tc>
          <w:tcPr>
            <w:tcW w:w="3260" w:type="dxa"/>
            <w:shd w:val="clear" w:color="auto" w:fill="auto"/>
          </w:tcPr>
          <w:p w14:paraId="584F56BC" w14:textId="77777777" w:rsidR="005D6FDC" w:rsidRPr="00F9494B"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r w:rsidRPr="00F9494B">
              <w:rPr>
                <w:sz w:val="19"/>
                <w:szCs w:val="19"/>
              </w:rPr>
              <w:t xml:space="preserve">Volatile Organic Compounds (VOCs) are present in </w:t>
            </w:r>
            <w:proofErr w:type="gramStart"/>
            <w:r w:rsidRPr="00F9494B">
              <w:rPr>
                <w:sz w:val="19"/>
                <w:szCs w:val="19"/>
              </w:rPr>
              <w:t>a number of</w:t>
            </w:r>
            <w:proofErr w:type="gramEnd"/>
            <w:r w:rsidRPr="00F9494B">
              <w:rPr>
                <w:sz w:val="19"/>
                <w:szCs w:val="19"/>
              </w:rPr>
              <w:t xml:space="preserve"> manufactured products, like paint, upholstery, carpet, etc. VOCs are emitted into the air, negatively impacting air quality, and contributing to smog and climate change.</w:t>
            </w:r>
          </w:p>
        </w:tc>
        <w:tc>
          <w:tcPr>
            <w:tcW w:w="2919" w:type="dxa"/>
            <w:shd w:val="clear" w:color="auto" w:fill="auto"/>
          </w:tcPr>
          <w:p w14:paraId="76BF5E35" w14:textId="77777777" w:rsidR="005D6FDC" w:rsidRPr="00F9494B"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r w:rsidRPr="00F9494B">
              <w:rPr>
                <w:sz w:val="19"/>
                <w:szCs w:val="19"/>
              </w:rPr>
              <w:t>Any certified no-VOC paint qualifies</w:t>
            </w:r>
          </w:p>
        </w:tc>
        <w:tc>
          <w:tcPr>
            <w:tcW w:w="0" w:type="auto"/>
            <w:shd w:val="clear" w:color="auto" w:fill="auto"/>
          </w:tcPr>
          <w:p w14:paraId="268E1762" w14:textId="77777777" w:rsidR="005D6FDC" w:rsidRPr="00F9494B"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r w:rsidRPr="00F9494B">
              <w:rPr>
                <w:sz w:val="19"/>
                <w:szCs w:val="19"/>
              </w:rPr>
              <w:t>$18-40 per gallon (</w:t>
            </w:r>
            <w:hyperlink r:id="rId19" w:anchor=":~:text=Safecoat%20zero%2DVOC%20paint%20can,for%20just%20%2433%20per%20gallon." w:history="1">
              <w:r w:rsidRPr="00F9494B">
                <w:rPr>
                  <w:rStyle w:val="Hyperlink"/>
                  <w:sz w:val="19"/>
                  <w:szCs w:val="19"/>
                </w:rPr>
                <w:t>source 1</w:t>
              </w:r>
            </w:hyperlink>
            <w:r w:rsidRPr="00F9494B">
              <w:rPr>
                <w:sz w:val="19"/>
                <w:szCs w:val="19"/>
              </w:rPr>
              <w:t>)</w:t>
            </w:r>
          </w:p>
        </w:tc>
        <w:tc>
          <w:tcPr>
            <w:tcW w:w="0" w:type="auto"/>
            <w:shd w:val="clear" w:color="auto" w:fill="auto"/>
          </w:tcPr>
          <w:p w14:paraId="3423D575" w14:textId="77777777" w:rsidR="005D6FDC" w:rsidRPr="00F9494B" w:rsidRDefault="005D6FDC" w:rsidP="007D6009">
            <w:pPr>
              <w:cnfStyle w:val="000000100000" w:firstRow="0" w:lastRow="0" w:firstColumn="0" w:lastColumn="0" w:oddVBand="0" w:evenVBand="0" w:oddHBand="1" w:evenHBand="0" w:firstRowFirstColumn="0" w:firstRowLastColumn="0" w:lastRowFirstColumn="0" w:lastRowLastColumn="0"/>
              <w:rPr>
                <w:sz w:val="19"/>
                <w:szCs w:val="19"/>
              </w:rPr>
            </w:pPr>
            <w:hyperlink r:id="rId20" w:history="1">
              <w:r w:rsidRPr="00F9494B">
                <w:rPr>
                  <w:rStyle w:val="Hyperlink"/>
                  <w:sz w:val="19"/>
                  <w:szCs w:val="19"/>
                </w:rPr>
                <w:t>Link 1</w:t>
              </w:r>
            </w:hyperlink>
          </w:p>
        </w:tc>
      </w:tr>
    </w:tbl>
    <w:p w14:paraId="43F69C77" w14:textId="77777777" w:rsidR="005D6FDC" w:rsidRPr="00595207" w:rsidRDefault="005D6FDC" w:rsidP="005D6FDC">
      <w:pPr>
        <w:widowControl/>
        <w:rPr>
          <w:sz w:val="14"/>
          <w:szCs w:val="14"/>
        </w:rPr>
      </w:pPr>
    </w:p>
    <w:p w14:paraId="20A7FB42" w14:textId="432A4C16" w:rsidR="00C763AF" w:rsidRPr="005D6FDC" w:rsidRDefault="005D6FDC">
      <w:pPr>
        <w:rPr>
          <w:color w:val="002060"/>
          <w:sz w:val="28"/>
          <w:szCs w:val="28"/>
        </w:rPr>
      </w:pPr>
      <w:r w:rsidRPr="0082497B">
        <w:rPr>
          <w:sz w:val="20"/>
          <w:szCs w:val="20"/>
        </w:rPr>
        <w:t>** Please note</w:t>
      </w:r>
      <w:r>
        <w:rPr>
          <w:sz w:val="20"/>
          <w:szCs w:val="20"/>
        </w:rPr>
        <w:t xml:space="preserve"> that</w:t>
      </w:r>
      <w:r w:rsidRPr="0082497B">
        <w:rPr>
          <w:sz w:val="20"/>
          <w:szCs w:val="20"/>
        </w:rPr>
        <w:t xml:space="preserve"> estimated costs are subject to change. </w:t>
      </w:r>
    </w:p>
    <w:sectPr w:rsidR="00C763AF" w:rsidRPr="005D6FDC" w:rsidSect="005D6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9026B"/>
    <w:multiLevelType w:val="hybridMultilevel"/>
    <w:tmpl w:val="8B28F308"/>
    <w:lvl w:ilvl="0" w:tplc="74C62F6C">
      <w:numFmt w:val="bullet"/>
      <w:lvlText w:val=""/>
      <w:lvlJc w:val="left"/>
      <w:pPr>
        <w:ind w:left="1080" w:hanging="360"/>
      </w:pPr>
      <w:rPr>
        <w:rFonts w:ascii="Symbol" w:eastAsia="Symbol" w:hAnsi="Symbol" w:cs="Symbol" w:hint="default"/>
        <w:b w:val="0"/>
        <w:bCs w:val="0"/>
        <w:i w:val="0"/>
        <w:iCs w:val="0"/>
        <w:w w:val="100"/>
        <w:sz w:val="16"/>
        <w:szCs w:val="16"/>
        <w:lang w:val="en-US" w:eastAsia="en-US" w:bidi="ar-SA"/>
      </w:rPr>
    </w:lvl>
    <w:lvl w:ilvl="1" w:tplc="A966225E">
      <w:numFmt w:val="bullet"/>
      <w:lvlText w:val="•"/>
      <w:lvlJc w:val="left"/>
      <w:pPr>
        <w:ind w:left="1976" w:hanging="360"/>
      </w:pPr>
      <w:rPr>
        <w:rFonts w:hint="default"/>
        <w:lang w:val="en-US" w:eastAsia="en-US" w:bidi="ar-SA"/>
      </w:rPr>
    </w:lvl>
    <w:lvl w:ilvl="2" w:tplc="DCECFEF6">
      <w:numFmt w:val="bullet"/>
      <w:lvlText w:val="•"/>
      <w:lvlJc w:val="left"/>
      <w:pPr>
        <w:ind w:left="2872" w:hanging="360"/>
      </w:pPr>
      <w:rPr>
        <w:rFonts w:hint="default"/>
        <w:lang w:val="en-US" w:eastAsia="en-US" w:bidi="ar-SA"/>
      </w:rPr>
    </w:lvl>
    <w:lvl w:ilvl="3" w:tplc="DEC83BD6">
      <w:numFmt w:val="bullet"/>
      <w:lvlText w:val="•"/>
      <w:lvlJc w:val="left"/>
      <w:pPr>
        <w:ind w:left="3768" w:hanging="360"/>
      </w:pPr>
      <w:rPr>
        <w:rFonts w:hint="default"/>
        <w:lang w:val="en-US" w:eastAsia="en-US" w:bidi="ar-SA"/>
      </w:rPr>
    </w:lvl>
    <w:lvl w:ilvl="4" w:tplc="FCAAC2E4">
      <w:numFmt w:val="bullet"/>
      <w:lvlText w:val="•"/>
      <w:lvlJc w:val="left"/>
      <w:pPr>
        <w:ind w:left="4664" w:hanging="360"/>
      </w:pPr>
      <w:rPr>
        <w:rFonts w:hint="default"/>
        <w:lang w:val="en-US" w:eastAsia="en-US" w:bidi="ar-SA"/>
      </w:rPr>
    </w:lvl>
    <w:lvl w:ilvl="5" w:tplc="42E24B56">
      <w:numFmt w:val="bullet"/>
      <w:lvlText w:val="•"/>
      <w:lvlJc w:val="left"/>
      <w:pPr>
        <w:ind w:left="5560" w:hanging="360"/>
      </w:pPr>
      <w:rPr>
        <w:rFonts w:hint="default"/>
        <w:lang w:val="en-US" w:eastAsia="en-US" w:bidi="ar-SA"/>
      </w:rPr>
    </w:lvl>
    <w:lvl w:ilvl="6" w:tplc="89BEAAD6">
      <w:numFmt w:val="bullet"/>
      <w:lvlText w:val="•"/>
      <w:lvlJc w:val="left"/>
      <w:pPr>
        <w:ind w:left="6456" w:hanging="360"/>
      </w:pPr>
      <w:rPr>
        <w:rFonts w:hint="default"/>
        <w:lang w:val="en-US" w:eastAsia="en-US" w:bidi="ar-SA"/>
      </w:rPr>
    </w:lvl>
    <w:lvl w:ilvl="7" w:tplc="631CC5A6">
      <w:numFmt w:val="bullet"/>
      <w:lvlText w:val="•"/>
      <w:lvlJc w:val="left"/>
      <w:pPr>
        <w:ind w:left="7352" w:hanging="360"/>
      </w:pPr>
      <w:rPr>
        <w:rFonts w:hint="default"/>
        <w:lang w:val="en-US" w:eastAsia="en-US" w:bidi="ar-SA"/>
      </w:rPr>
    </w:lvl>
    <w:lvl w:ilvl="8" w:tplc="FAD0C6DE">
      <w:numFmt w:val="bullet"/>
      <w:lvlText w:val="•"/>
      <w:lvlJc w:val="left"/>
      <w:pPr>
        <w:ind w:left="8248" w:hanging="360"/>
      </w:pPr>
      <w:rPr>
        <w:rFonts w:hint="default"/>
        <w:lang w:val="en-US" w:eastAsia="en-US" w:bidi="ar-SA"/>
      </w:rPr>
    </w:lvl>
  </w:abstractNum>
  <w:num w:numId="1" w16cid:durableId="117410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DC"/>
    <w:rsid w:val="004C3BA9"/>
    <w:rsid w:val="004F2353"/>
    <w:rsid w:val="005D6FDC"/>
    <w:rsid w:val="008D03A3"/>
    <w:rsid w:val="009C1C8B"/>
    <w:rsid w:val="00BB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EE15"/>
  <w15:chartTrackingRefBased/>
  <w15:docId w15:val="{91C0C2D1-BE30-4B2C-8346-D4309F08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DC"/>
    <w:pPr>
      <w:widowControl w:val="0"/>
      <w:autoSpaceDE w:val="0"/>
      <w:autoSpaceDN w:val="0"/>
    </w:pPr>
    <w:rPr>
      <w:rFonts w:ascii="Franklin Gothic Book" w:eastAsia="Franklin Gothic Book" w:hAnsi="Franklin Gothic Book" w:cs="Franklin Gothic Book"/>
    </w:rPr>
  </w:style>
  <w:style w:type="paragraph" w:styleId="Heading1">
    <w:name w:val="heading 1"/>
    <w:basedOn w:val="Normal"/>
    <w:link w:val="Heading1Char"/>
    <w:uiPriority w:val="9"/>
    <w:qFormat/>
    <w:rsid w:val="005D6FDC"/>
    <w:pP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FDC"/>
    <w:rPr>
      <w:rFonts w:ascii="Franklin Gothic Book" w:eastAsia="Franklin Gothic Book" w:hAnsi="Franklin Gothic Book" w:cs="Franklin Gothic Book"/>
      <w:sz w:val="40"/>
      <w:szCs w:val="40"/>
    </w:rPr>
  </w:style>
  <w:style w:type="paragraph" w:styleId="ListParagraph">
    <w:name w:val="List Paragraph"/>
    <w:basedOn w:val="Normal"/>
    <w:uiPriority w:val="34"/>
    <w:qFormat/>
    <w:rsid w:val="005D6FDC"/>
    <w:pPr>
      <w:spacing w:line="272" w:lineRule="exact"/>
      <w:ind w:left="1760" w:hanging="361"/>
    </w:pPr>
  </w:style>
  <w:style w:type="character" w:styleId="Hyperlink">
    <w:name w:val="Hyperlink"/>
    <w:basedOn w:val="DefaultParagraphFont"/>
    <w:uiPriority w:val="99"/>
    <w:unhideWhenUsed/>
    <w:rsid w:val="005D6FDC"/>
    <w:rPr>
      <w:color w:val="0563C1" w:themeColor="hyperlink"/>
      <w:u w:val="single"/>
    </w:rPr>
  </w:style>
  <w:style w:type="table" w:styleId="GridTable5Dark-Accent1">
    <w:name w:val="Grid Table 5 Dark Accent 1"/>
    <w:basedOn w:val="TableNormal"/>
    <w:uiPriority w:val="50"/>
    <w:rsid w:val="005D6F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odelingexpense.com/costs/cost-of-energy-efficient-doors/" TargetMode="External"/><Relationship Id="rId13" Type="http://schemas.openxmlformats.org/officeDocument/2006/relationships/hyperlink" Target="https://www.stopwaste.org/faq/when-looking-recycled-content-products-what-do-terms-%E2%80%9Cpostconsumer%E2%80%9D-%E2%80%9Cpre-consumer%E2%80%9D-and-%E2%80%9Ctotal" TargetMode="External"/><Relationship Id="rId18" Type="http://schemas.openxmlformats.org/officeDocument/2006/relationships/hyperlink" Target="https://www.in.gov/dnr/lake-michigan-coastal-program/files/lm-RainGardenManua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nergystar.gov/ia/partners/manuf_res/windows/ES_Windows_Cost_Energy_Savings.pdf" TargetMode="External"/><Relationship Id="rId12" Type="http://schemas.openxmlformats.org/officeDocument/2006/relationships/hyperlink" Target="https://sustainablepackaging.org/101-recycled-content-vs-recyclability/" TargetMode="External"/><Relationship Id="rId17" Type="http://schemas.openxmlformats.org/officeDocument/2006/relationships/hyperlink" Target="http://raingardenalliance.org/what/faqs" TargetMode="External"/><Relationship Id="rId2" Type="http://schemas.openxmlformats.org/officeDocument/2006/relationships/styles" Target="styles.xml"/><Relationship Id="rId16" Type="http://schemas.openxmlformats.org/officeDocument/2006/relationships/hyperlink" Target="https://education.nationalgeographic.org/resource/xeriscaping" TargetMode="External"/><Relationship Id="rId20" Type="http://schemas.openxmlformats.org/officeDocument/2006/relationships/hyperlink" Target="https://modernize.com/homeowner-resources/other/does-no-voc-exterior-paint-matter" TargetMode="External"/><Relationship Id="rId1" Type="http://schemas.openxmlformats.org/officeDocument/2006/relationships/numbering" Target="numbering.xml"/><Relationship Id="rId6" Type="http://schemas.openxmlformats.org/officeDocument/2006/relationships/hyperlink" Target="https://www.energystar.gov/products/building_products/residential_windows_doors_and_skylights/benefits" TargetMode="External"/><Relationship Id="rId11" Type="http://schemas.openxmlformats.org/officeDocument/2006/relationships/hyperlink" Target="https://www.perviouspavement.org/benefits/leed.html" TargetMode="External"/><Relationship Id="rId5" Type="http://schemas.openxmlformats.org/officeDocument/2006/relationships/hyperlink" Target="https://www.homeadvisor.com/cost/doors-and-windows/install-triple-pane-windows/" TargetMode="External"/><Relationship Id="rId15" Type="http://schemas.openxmlformats.org/officeDocument/2006/relationships/hyperlink" Target="https://indianhousedesign.com/xeriscaping-the-sustainable-landscaping-method-to-incorporate-into-your-garden.html" TargetMode="External"/><Relationship Id="rId10" Type="http://schemas.openxmlformats.org/officeDocument/2006/relationships/hyperlink" Target="https://westerninterlock.com/permeable-pavers-vs-non-permeable-pavers-whats-the-difference/" TargetMode="External"/><Relationship Id="rId19" Type="http://schemas.openxmlformats.org/officeDocument/2006/relationships/hyperlink" Target="https://www.buildwithrise.com/stories/our-top-8-picks-sustainable-interior-paint" TargetMode="External"/><Relationship Id="rId4" Type="http://schemas.openxmlformats.org/officeDocument/2006/relationships/webSettings" Target="webSettings.xml"/><Relationship Id="rId9" Type="http://schemas.openxmlformats.org/officeDocument/2006/relationships/hyperlink" Target="https://homeguide.com/costs/permeable-pavers-cost" TargetMode="External"/><Relationship Id="rId14" Type="http://schemas.openxmlformats.org/officeDocument/2006/relationships/hyperlink" Target="https://www.fixr.com/costs/xeriscap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Bauman</dc:creator>
  <cp:keywords/>
  <dc:description/>
  <cp:lastModifiedBy>Evelyn Bauman</cp:lastModifiedBy>
  <cp:revision>1</cp:revision>
  <dcterms:created xsi:type="dcterms:W3CDTF">2022-12-22T20:15:00Z</dcterms:created>
  <dcterms:modified xsi:type="dcterms:W3CDTF">2022-12-22T20:17:00Z</dcterms:modified>
</cp:coreProperties>
</file>